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Кардиология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Кардиология | Записей: 1 | Кейс: 1 | Вопросов: 12</w:t>
      </w:r>
    </w:p>
    <w:p>
      <w:r>
        <w:br w:type="page"/>
      </w:r>
    </w:p>
    <w:p>
      <w:pPr>
        <w:pStyle w:val="Heading1"/>
      </w:pPr>
      <w:r>
        <w:t>Кардиология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Н. 61 года, пенсионер, обратился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одышку, возникающую при небольшой физической нагрузке, проходящую в покое,</w:t>
      </w:r>
    </w:p>
    <w:p>
      <w:pPr>
        <w:spacing w:after="58"/>
      </w:pPr>
      <w:r>
        <w:rPr>
          <w:b w:val="0"/>
          <w:i w:val="0"/>
        </w:rPr>
        <w:t>* эпизоды удушья в ночное время суток, вынуждающие больного принять вертикальное положение,</w:t>
      </w:r>
    </w:p>
    <w:p>
      <w:pPr>
        <w:spacing w:after="58"/>
      </w:pPr>
      <w:r>
        <w:rPr>
          <w:b w:val="0"/>
          <w:i w:val="0"/>
        </w:rPr>
        <w:t>* тяжесть в правом подреберье,</w:t>
      </w:r>
    </w:p>
    <w:p>
      <w:pPr>
        <w:spacing w:after="58"/>
      </w:pPr>
      <w:r>
        <w:rPr>
          <w:b w:val="0"/>
          <w:i w:val="0"/>
        </w:rPr>
        <w:t>* отеки голеней и стоп,</w:t>
      </w:r>
    </w:p>
    <w:p>
      <w:pPr>
        <w:spacing w:after="58"/>
      </w:pPr>
      <w:r>
        <w:rPr>
          <w:b w:val="0"/>
          <w:i w:val="0"/>
        </w:rPr>
        <w:t>* слабость, повышенную утомляемость,</w:t>
      </w:r>
    </w:p>
    <w:p>
      <w:pPr>
        <w:spacing w:after="58"/>
      </w:pPr>
      <w:r>
        <w:rPr>
          <w:b w:val="0"/>
          <w:i w:val="0"/>
        </w:rPr>
        <w:t>* уменьшение объема выделяемой мочи.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длительного времени (приблизительно с 45 лет) страдал артериальной гипертензией с повышением АД до 170/100 мм рт.ст., однако не обследовался, лечения не получал. В возрасте 60 лет без предшествующей стенокардии перенес инфаркт миокарда, лечился стационарно консервативно. Рекомендованную при выписке из стационара терапию принимал в течение 1 месяца, затем все препараты самостоятельно отменил, мотивируя удовлетворительным самочувствием. В течение года после инфаркта миокарда больной отметил снижение цифр АД и появление одышки сначала при обычной, потом и при незначительной физической нагрузке, что ограничивало его повседневную активность. В последующем присоединились отеки нижних конечностей, обратил внимание на уменьшение количества выделяемой мочи, особенно в дневное время.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нормально.</w:t>
      </w:r>
    </w:p>
    <w:p>
      <w:pPr>
        <w:spacing w:after="58"/>
      </w:pPr>
      <w:r>
        <w:rPr>
          <w:b w:val="0"/>
          <w:i w:val="0"/>
        </w:rPr>
        <w:t>* Работал токарем.</w:t>
      </w:r>
    </w:p>
    <w:p>
      <w:pPr>
        <w:spacing w:after="58"/>
      </w:pPr>
      <w:r>
        <w:rPr>
          <w:b w:val="0"/>
          <w:i w:val="0"/>
        </w:rPr>
        <w:t>* С 16 лет курил по 1 пачке в день. После перенесенного инфаркта курить бросил.</w:t>
      </w:r>
    </w:p>
    <w:p>
      <w:pPr>
        <w:spacing w:after="58"/>
      </w:pPr>
      <w:r>
        <w:rPr>
          <w:b w:val="0"/>
          <w:i w:val="0"/>
        </w:rPr>
        <w:t>* Семейный анамнез: отец больного умер в возрасте 52 лет от заболевания сердца, мать 83-х лет жива, страдает артериальной гипертензией.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тяжелое. Рост – 177 см, масса тела – 85 кг. Кожные покровы бледные. Цианоз губ, акроцианоз. Температура тела – 36,4°С. Симметричные отеки стоп и голеней до средней трети. Грудная клетка цилиндрической формы, симметричная. ЧДД – 23 в минуту. При сравнительной перкуссии в симметричных участках грудной клетки определяется легочный звук с коробочным оттенком, ниже углов лопаток с обеих сторон определяется укорочение перкуторного звука. При аускультации над легкими выслушивается жесткое дыхание, в нижних отделах с обеих сторон – влажные незвонкие мелкопузырчатые хрипы. Границы относительной тупости сердца: правая – по правому краю грудины, левая – в VI межреберье по передне-подмышечной линии, верхняя – по верхнему краю III ребра. При аускультации сердца тоны ослаблены, ритмичные, на верхушке выслушивается ритм галопа и мягкий систолический шум, проводящийся в левую подмышечную область. ЧСС – 94 удара в минуту. АД – 120/80 мм рт.ст. Пульс – 94 удара в минуту. Живот мягкий, чувствительный в области правого подреберья. Размеры печени: 15×12×9 см. Область почек не изменена. Почки не пальпируются.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Выберите необходимые для постановки диагноза лабораторные методы обследования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мокроты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уровня С-реактивного протеина и ревматоидного фактора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титра противострептококковых антител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общий анализ мочи; биохимический анализ крови</w:t>
      </w:r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ХСНрекомендуетсяпроведение общего (клинического) анализа крови (исследование уровня эритроцитов, тромбоцитов, лейкоцитов в крови, оценка гематокрита).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ХСНрекомендуетсяпроведение общего (клинического) анализа мочи.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ХСНрекомендуетсяпроведение биохимического анализа крови: исследование уровня натрия и калия в крови, уровня креатинина в крови и скорости клубочковой фильтрации (СКФ) (расчетный показатель), уровня общего белка и альбумина в крови, уровня глюкозы в крови, уровня триглицеридов в крови, уровня холестерина в крови и уровня липопротеидов в крови, определение активности щелочной фосфатазы в крови, активности гамма-глютамилтрансферазы в крови, активности аспартатаминотрансферазы в крови и активности аланинаминотрансферазы в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Учитывая ишемическую этиологию ХСН, показано определение липидного профиля в качестве обязательного базового обследования всех пациентов с ИБС.</w:t>
        <w:br/>
        <w:br/>
        <w:t>Всем пациентам с ИБС или подозрением на неерекомендуетсяпровести анализ крови для оценки нарушений липидного обмена, биохимический (анализ крови биохимический общетерапевтический), включая исследование уровня общего исследование уровня холестерина в крови, исследование уровня холестерина липопротеидов низкой плотности (ХсЛНП), исследование уровня триглицеридов (ТГ), холестерина липопротеинов высокой плотности в крови (ХcЛПВП) с целью выявления фактора риска и, при необходимости, коррекции терапии.</w:t>
        <w:br/>
        <w:br/>
      </w:r>
      <w:hyperlink r:id="rId13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ЭКГ в покое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бодиплетизмография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Эхо-КГ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экскреторная урография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УЗДГ глубоких вен нижних конечностей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ЭКГ в покое; Эхо-КГ</w:t>
      </w:r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данныхрекомендованавсем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13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c ХСНрекомендуетсявыполнение 12-канальной электрокардиографии (регистрация электрокардиограммы) (ЭКГ) с оценкой сердечного ритма, частоты сердечных сокращений (ЧСС), морфологии и продолжительности комплекса QRS, наличия нарушений атрриовентрикулярной и желудочковой проводимости (БЛНПГ, блокады правой ножки пучка Гиса), рубцового поражения миокарда, гипертрофии миокарда). Диагноз ХСН маловероятен при наличии абсолютно нормальной ЭКГ.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режимоврекомендованавсем пациентам с подозрением на ИБС для: 1) исключения других причин боли в грудной клетке; 2) выявления нарушений локальной сократимости (НЛС) левого желудочка; 3) измерения фракции выброса (ФВ) ЛЖ; 4) оценки диастолической функции ЛЖ; 5) выявления патологии клапанного аппарата сердца.</w:t>
        <w:br/>
        <w:br/>
      </w:r>
      <w:hyperlink r:id="rId13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подозрением на СНрекомендуетсяэхокардиография (ЭхоКГ) для оценки структуры и функции сердца с целью подтверждения диагноза и установления фенотипа СН.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Какой предполагаемый основной диагноз?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Первичная дилатационная кардиомиопатия. Относительная недостаточность митрального и трикуспидального клапанов. Легочная гипертензия. Желудочковая экстрасистолия 2 ФК по Лауну. ХСН со сниженной ФВ ЛЖ, IIБ ст., IV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ИБС: постинфарктный кардиосклероз. Гипертоническая болезнь II ст., артериальная гипертензия 2 ст., риск ССО очень высокий. Сочетанное: Бронхиальная астма, эндогенная форма, тяжелого персистирующего течения, обострение. Пневмосклероз. Эмфизема легких. Астматический статус 1 ст.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Хроническая обструктивная болезнь легких, бронхитический фенотип, средней степени тяжести (II cтадия), обострение. Хронический бронхит, ассоциированный с табакокурением, обострение. Хроническое легочное сердце II ФК. Дыхательная недостаточность III ст. Вторичные тракционные бронхоэктазы. Внебольничная очаговая полисегментарная пневмония в нижней доле левого легкого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ИБС: постинфарктный кардиосклероз. Гипертоническая болезнь III ст., контролируемая артериальная гипертензия, риск ССО очень высокий. ХСН с низкой ФВ ЛЖ 35%, 1 стадии РКО, IV ФК NYHA. Приступы сердечной астмы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постинфарктный кардиосклероз. Гипертоническая болезнь III ст., контролируемая артериальная гипертензия, риск ССО очень высокий. ХСН с низкой ФВ ЛЖ 35%, 1 стадии РКО, IV ФК NYHA. Приступы сердечной астмы</w:t>
      </w:r>
    </w:p>
    <w:p>
      <w:pPr>
        <w:ind w:left="504"/>
      </w:pPr>
      <w:r>
        <w:rPr>
          <w:b w:val="0"/>
          <w:i/>
        </w:rPr>
        <w:t>У больного имеются анамнестические данные о перенесенном инфаркте миокарда, что подтверждается результатами ЭКГ (Q-очаговые изменения в задне-диафрагмальной стенке ЛЖ) и ЭхоКГ (зоны акинезии в задней стенке ЛЖ с дилатацией полостей сердца и снижением ФВ ЛЖ до 35%).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Анамнез предшествующей АГ (с учетом типичного возраста начала заболевания, ФР наиболее вероятна гипертоническая болезнь), в настоящее время АД находится в интервале целевых значений – контролируемое течение АГ, очень высокого риска, т.к. имеются ассоциированные клинические состояния – ИБС и ХСН.</w:t>
        <w:br/>
        <w:br/>
      </w:r>
      <w:hyperlink r:id="rId20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Приступы ночной одышки у больного с ХСН со сниженной ФВ ЛЖ следует расценивать как проявления сердечной астмы.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Препаратами «первой линии» в лечении больного, в клинической картине которого превалирует симптоматика ХСН, являются валсартан-сакубитрил или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ингибиторы АПФ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петлевые диуретики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сердечные гликозиды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пролонгированные нитраты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ингибиторы АПФ</w:t>
      </w:r>
    </w:p>
    <w:p>
      <w:pPr>
        <w:ind w:left="504"/>
      </w:pPr>
      <w:r>
        <w:rPr>
          <w:b w:val="0"/>
          <w:i/>
        </w:rPr>
        <w:t>иАПФ/валсартан+сакубитрил{asterisk}{asterisk}, бета-адреноблокаторы (β-АБ), антагонисты альдостерона, дапаглифлозин{asterisk}{asterisk}/эмпаглифлозин{asterisk}{asterisk} (ингибиторы натрийзависимого переносчика глюкозы 2-го типа) рекомендуются в составе комбинированной четырехкомпонентной терапии для лечения всем пациентам с симптомной ХСНнФВ (≤40%) для снижения госпитализации из-за ХСН и смерти.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иАПФ рекомендуются всем пациентам с симптомной ХСНнФВ при отсутствии противопоказаний для снижения риска госпитализации из-за СН и смерти.</w:t>
        <w:br/>
        <w:br/>
      </w:r>
      <w:hyperlink r:id="rId24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Абсолютным противопоказанием для назначения ингибиторов АПФ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облитерирующий атеросклероз артерий нижних конечностей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атеросклероз коронарных артерий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двусторонний стеноз почечных артерий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дилятационная кардиомиопатия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двусторонний стеноз почечных артерий</w:t>
      </w:r>
    </w:p>
    <w:p>
      <w:pPr>
        <w:ind w:left="504"/>
      </w:pPr>
      <w:r>
        <w:rPr>
          <w:b w:val="0"/>
          <w:i/>
        </w:rPr>
        <w:t>Противопоказания к назначению  иАПФ:</w:t>
        <w:br/>
        <w:br/>
        <w:t>* ангионевротический отек в анамнезе;</w:t>
        <w:br/>
        <w:t>* сухой кашель и аллергические реакции;</w:t>
        <w:br/>
        <w:t>* ранее выявленный двусторонний стеноз почечных артерий;</w:t>
        <w:br/>
        <w:t>* беременность.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После начала терапии иАПФ допустимо увеличение уровня креатинина на +______+ % выше исходных значений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После начала терапии иАПФ допустимо увеличение уровня креатинина на 50% выше исходных значений, или до 226 мкмоль/л (3,0мг/дЛ).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Комбинированная базисная терапия ХСН со сниженной фракцией выброса левого желудочка у данного больного наряду с ингибиторами АПФ и бета-адреноблокаторами должна включать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антагониста минералокортикоидных рецепторов и ингибитора натрий-глюкозного ко-транспортера 2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блокатора ангиотензиновых рецепторов и непрямого антикоагулянта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статина и антиагреганта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петлевых и тиазидных диуретиков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антагониста минералокортикоидных рецепторов и ингибитора натрий-глюкозного ко-транспортера 2 типа</w:t>
      </w:r>
    </w:p>
    <w:p>
      <w:pPr>
        <w:ind w:left="504"/>
      </w:pPr>
      <w:r>
        <w:rPr>
          <w:b w:val="0"/>
          <w:i/>
        </w:rPr>
        <w:t>иАПФ/валсартан+сакубитрил{asterisk}{asterisk}, бета-адреноблокаторы (β-АБ), антагонисты альдостерона, дапаглифлозин{asterisk}{asterisk}/эмпаглифлозин{asterisk}{asterisk} (ингибиторы натрийзависимого переносчика глюкозы 2-го типа)рекомендуютсяв составе комбинированной четырехкомпонентной терапии для лечения всем пациентам с симптомной ХСНнФВ (≤40%) для снижения госпитализации из-за ХСН и смерти.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Терапию диуретиками необходимо начинать с малых доз, постепенно титруя дозу препарата до тех пор, пока потеря веса больного не составит +__________+ кг ежедневно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0,2-0,4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1,1-1,5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1,6-2,0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0,75-1,0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0,75-1,0</w:t>
      </w:r>
    </w:p>
    <w:p>
      <w:pPr>
        <w:ind w:left="504"/>
      </w:pPr>
      <w:r>
        <w:rPr>
          <w:b w:val="0"/>
          <w:i/>
        </w:rPr>
        <w:t>Терапию диуретиками у пациентов с симптомами задержки жидкости необходимо начинать с малых доз, постепенно титруя дозу препарата до тех пор, пока потеря веса пациента не составит 0,75-1,0 кг ежедневно.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настоящее время противопоказанием к назначению бета-адреноблокаторов у данного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фибрилляция предсердий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полная блокада левой ножки пучка Гиса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тяжелая декомпенсация ХСН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тяжелая декомпенсация ХСН</w:t>
      </w:r>
    </w:p>
    <w:p>
      <w:pPr>
        <w:ind w:left="504"/>
      </w:pPr>
      <w:r>
        <w:rPr>
          <w:b w:val="0"/>
          <w:i/>
        </w:rPr>
        <w:t>Назначение терапии β-АБ не рекомендуется у не стабильных пациентов с декомпенсированной ХСН.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Учитывая тяжесть декомпенсации ХСН больному в стационаре показана дегидратационная терапия, начинать которую следует с +____________+ диуретиков с +________________+ путем введения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тиазидных; пероральным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петлевых; пероральным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петлевых; внутривенным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калий-сберегающих; пероральным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петлевых; внутривенным</w:t>
      </w:r>
    </w:p>
    <w:p>
      <w:pPr>
        <w:ind w:left="504"/>
      </w:pPr>
      <w:r>
        <w:rPr>
          <w:b w:val="0"/>
          <w:i/>
        </w:rPr>
        <w:t>Петлевые диуретики фуросемид{asterisk}{asterisk} и торасемид являются наиболее часто используемыми диуретиками при ХСН. В отличие от фуросемида{asterisk}{asterisk}, торасемид обладает антиальдостероновым эффектом и в меньшей степени активирует РААС.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 появлении симптомов декомпенсации всегда требуется увеличение дозы или перевод на внутривенное введение диуретика в связи с развитием гипоперфузии и отека кишечника с нарушением всасываемости препарата.</w:t>
        <w:br/>
        <w:br/>
      </w:r>
      <w:hyperlink r:id="rId3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 больного с декомпенсированной ХСН, получающего ингибитор АПФ, фуросемид и спиронолактон для мониторинга за развитием нежелательных побочных эффектов необходима динамическая оценка показателя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гликозилированного гемоглобина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частоты сердечных сокращений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СКФ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продолжительности коррегированного QT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СКФ</w:t>
      </w:r>
    </w:p>
    <w:p>
      <w:pPr>
        <w:ind w:left="504"/>
      </w:pPr>
      <w:r>
        <w:rPr>
          <w:b w:val="0"/>
          <w:i/>
        </w:rPr>
        <w:t>Контроль уровня АД и биохимический анализ крови (мочевина, креатинин, калий) через 1-2 недели после начала терапии иАПФ и через 1-2 недели после окончательного титрования дозы; дальнейшее мониторирование биохимического анализа крови 1 раз в 4 месяца;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Контроль калия и креатинина крови через 1, 4, 8 и 12 недель; 6, 9 и 12 месяцев; далее каждые 4 месяца лечения спиронолактоном.</w:t>
        <w:br/>
        <w:br/>
      </w:r>
      <w:hyperlink r:id="rId3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Контроль электролитов, креатинина и мочевины крови через 1-2 недели после инициации терапии или изменения дозы петлевых диуретиков.</w:t>
        <w:br/>
        <w:br/>
      </w:r>
      <w:hyperlink r:id="rId33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развитии у больного гинекомастии на фоне длительного приема спиронолактона необходимо заменить его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торасемид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индапамид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эплеренон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хлорталидон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эплеренон</w:t>
      </w:r>
    </w:p>
    <w:p>
      <w:pPr>
        <w:ind w:left="504"/>
      </w:pPr>
      <w:r>
        <w:rPr>
          <w:b w:val="0"/>
          <w:i/>
        </w:rPr>
        <w:t>У мужчин, длительно принимающих спиронолактон, возможно развитие симптомов гинекомастии/дискомфорта в области грудных желез, дис- и аменорея у женщин. В этом случае рекомендована отмена данного препарата и его замена на селективный АМКР эплеренон.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56_24/" TargetMode="External"/><Relationship Id="rId10" Type="http://schemas.openxmlformats.org/officeDocument/2006/relationships/hyperlink" Target="https://library.mededtech.ru/rest/documents/KP156_24/#list_item_3dh5re" TargetMode="External"/><Relationship Id="rId11" Type="http://schemas.openxmlformats.org/officeDocument/2006/relationships/hyperlink" Target="https://library.mededtech.ru/rest/documents/KP156_24/#list_item_gt09uv" TargetMode="External"/><Relationship Id="rId12" Type="http://schemas.openxmlformats.org/officeDocument/2006/relationships/hyperlink" Target="https://library.mededtech.ru/rest/documents/KP156_24/#list_item_c9e5mp" TargetMode="External"/><Relationship Id="rId13" Type="http://schemas.openxmlformats.org/officeDocument/2006/relationships/hyperlink" Target="https://library.mededtech.ru/rest/documents/KP155_24/" TargetMode="External"/><Relationship Id="rId14" Type="http://schemas.openxmlformats.org/officeDocument/2006/relationships/hyperlink" Target="https://library.mededtech.ru/rest/documents/KP155_24/#list_item_ike75r" TargetMode="External"/><Relationship Id="rId15" Type="http://schemas.openxmlformats.org/officeDocument/2006/relationships/hyperlink" Target="https://library.mededtech.ru/rest/documents/KP155_24/#list_item_udpfta" TargetMode="External"/><Relationship Id="rId16" Type="http://schemas.openxmlformats.org/officeDocument/2006/relationships/hyperlink" Target="https://library.mededtech.ru/rest/documents/KP156_24/#list_item_87dv8l" TargetMode="External"/><Relationship Id="rId17" Type="http://schemas.openxmlformats.org/officeDocument/2006/relationships/hyperlink" Target="https://library.mededtech.ru/rest/documents/KP155_24/#list_item_2p39pm" TargetMode="External"/><Relationship Id="rId18" Type="http://schemas.openxmlformats.org/officeDocument/2006/relationships/hyperlink" Target="https://library.mededtech.ru/rest/documents/KP156_24/#list_item_9qmpcd" TargetMode="External"/><Relationship Id="rId19" Type="http://schemas.openxmlformats.org/officeDocument/2006/relationships/hyperlink" Target="https://library.mededtech.ru/rest/documents/KP156_24/#list_item_n7n47l" TargetMode="External"/><Relationship Id="rId20" Type="http://schemas.openxmlformats.org/officeDocument/2006/relationships/hyperlink" Target="https://library.mededtech.ru/rest/documents/KP62_24/" TargetMode="External"/><Relationship Id="rId21" Type="http://schemas.openxmlformats.org/officeDocument/2006/relationships/hyperlink" Target="https://library.mededtech.ru/rest/documents/KP62_24/#list_item_c5kl1j" TargetMode="External"/><Relationship Id="rId22" Type="http://schemas.openxmlformats.org/officeDocument/2006/relationships/hyperlink" Target="https://library.mededtech.ru/rest/documents/KP156_24/#paragraph_5humk7" TargetMode="External"/><Relationship Id="rId23" Type="http://schemas.openxmlformats.org/officeDocument/2006/relationships/hyperlink" Target="https://library.mededtech.ru/rest/documents/KP156_24/#list_item_38tu7i" TargetMode="External"/><Relationship Id="rId24" Type="http://schemas.openxmlformats.org/officeDocument/2006/relationships/hyperlink" Target="https://library.mededtech.ru/rest/documents/KP156_24/#list_item_sa7f4q" TargetMode="External"/><Relationship Id="rId25" Type="http://schemas.openxmlformats.org/officeDocument/2006/relationships/hyperlink" Target="https://library.mededtech.ru/rest/documents/KP156_24/#paragraph_uo3el5" TargetMode="External"/><Relationship Id="rId26" Type="http://schemas.openxmlformats.org/officeDocument/2006/relationships/hyperlink" Target="https://library.mededtech.ru/rest/documents/KP156_24/#list_item_o41n5l" TargetMode="External"/><Relationship Id="rId27" Type="http://schemas.openxmlformats.org/officeDocument/2006/relationships/hyperlink" Target="https://library.mededtech.ru/rest/documents/KP156_24/#list_item_f8b2na" TargetMode="External"/><Relationship Id="rId28" Type="http://schemas.openxmlformats.org/officeDocument/2006/relationships/hyperlink" Target="https://library.mededtech.ru/rest/documents/KP156_24/#list_item_rcke4m" TargetMode="External"/><Relationship Id="rId29" Type="http://schemas.openxmlformats.org/officeDocument/2006/relationships/hyperlink" Target="https://library.mededtech.ru/rest/documents/KP156_24/#list_item_tje6o8" TargetMode="External"/><Relationship Id="rId30" Type="http://schemas.openxmlformats.org/officeDocument/2006/relationships/hyperlink" Target="https://library.mededtech.ru/rest/documents/KP156_24/#list_item_vuq53p" TargetMode="External"/><Relationship Id="rId31" Type="http://schemas.openxmlformats.org/officeDocument/2006/relationships/hyperlink" Target="https://library.mededtech.ru/rest/documents/KP156_24/#list_item_kiocl5" TargetMode="External"/><Relationship Id="rId32" Type="http://schemas.openxmlformats.org/officeDocument/2006/relationships/hyperlink" Target="https://library.mededtech.ru/rest/documents/KP156_24/#list_item_nniev4" TargetMode="External"/><Relationship Id="rId33" Type="http://schemas.openxmlformats.org/officeDocument/2006/relationships/hyperlink" Target="https://library.mededtech.ru/rest/documents/KP156_24/#list_item_mmj3om" TargetMode="External"/><Relationship Id="rId34" Type="http://schemas.openxmlformats.org/officeDocument/2006/relationships/hyperlink" Target="https://library.mededtech.ru/rest/documents/KP156_24/#paragraph_25qdq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